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F778F" w14:textId="77777777" w:rsidR="00F833EB" w:rsidRPr="00033154" w:rsidRDefault="00F833EB" w:rsidP="00026E9D">
      <w:pPr>
        <w:spacing w:line="360" w:lineRule="auto"/>
        <w:rPr>
          <w:rFonts w:cstheme="minorHAnsi"/>
          <w:b/>
          <w:spacing w:val="-6"/>
          <w:sz w:val="28"/>
          <w:szCs w:val="28"/>
        </w:rPr>
      </w:pPr>
      <w:r w:rsidRPr="00033154">
        <w:rPr>
          <w:rFonts w:cstheme="minorHAnsi"/>
          <w:b/>
          <w:spacing w:val="-6"/>
          <w:sz w:val="28"/>
          <w:szCs w:val="28"/>
        </w:rPr>
        <w:t xml:space="preserve">Streszczenie rozprawy doktorskiej mgr Anny </w:t>
      </w:r>
      <w:proofErr w:type="spellStart"/>
      <w:r w:rsidRPr="00033154">
        <w:rPr>
          <w:rFonts w:cstheme="minorHAnsi"/>
          <w:b/>
          <w:spacing w:val="-6"/>
          <w:sz w:val="28"/>
          <w:szCs w:val="28"/>
        </w:rPr>
        <w:t>Hlebickiej-Józefowicz</w:t>
      </w:r>
      <w:proofErr w:type="spellEnd"/>
      <w:r w:rsidRPr="00033154">
        <w:rPr>
          <w:rFonts w:cstheme="minorHAnsi"/>
          <w:b/>
          <w:spacing w:val="-6"/>
          <w:sz w:val="28"/>
          <w:szCs w:val="28"/>
        </w:rPr>
        <w:t xml:space="preserve"> /</w:t>
      </w:r>
      <w:proofErr w:type="spellStart"/>
      <w:r w:rsidRPr="00033154">
        <w:rPr>
          <w:rFonts w:cstheme="minorHAnsi"/>
          <w:b/>
          <w:spacing w:val="-6"/>
          <w:sz w:val="28"/>
          <w:szCs w:val="28"/>
        </w:rPr>
        <w:t>j.polski</w:t>
      </w:r>
      <w:proofErr w:type="spellEnd"/>
      <w:r w:rsidRPr="00033154">
        <w:rPr>
          <w:rFonts w:cstheme="minorHAnsi"/>
          <w:b/>
          <w:spacing w:val="-6"/>
          <w:sz w:val="28"/>
          <w:szCs w:val="28"/>
        </w:rPr>
        <w:t xml:space="preserve">/ </w:t>
      </w:r>
    </w:p>
    <w:p w14:paraId="22BA553C" w14:textId="77777777" w:rsidR="004755C5" w:rsidRPr="00033154" w:rsidRDefault="00F833EB" w:rsidP="00026E9D">
      <w:pPr>
        <w:spacing w:line="360" w:lineRule="auto"/>
        <w:rPr>
          <w:rFonts w:cstheme="minorHAnsi"/>
          <w:b/>
          <w:spacing w:val="-6"/>
          <w:sz w:val="28"/>
          <w:szCs w:val="28"/>
        </w:rPr>
      </w:pPr>
      <w:r w:rsidRPr="00033154">
        <w:rPr>
          <w:rFonts w:cstheme="minorHAnsi"/>
          <w:b/>
          <w:spacing w:val="-6"/>
          <w:sz w:val="28"/>
          <w:szCs w:val="28"/>
        </w:rPr>
        <w:t>pt. „Wstępne rozpoznanie skargi konstytucyjnej”</w:t>
      </w:r>
    </w:p>
    <w:p w14:paraId="61649FAF" w14:textId="77777777" w:rsidR="00F833EB" w:rsidRDefault="00F833EB" w:rsidP="00026E9D">
      <w:pPr>
        <w:spacing w:line="360" w:lineRule="auto"/>
        <w:rPr>
          <w:rFonts w:asciiTheme="majorHAnsi" w:hAnsiTheme="majorHAnsi"/>
          <w:b/>
          <w:spacing w:val="-6"/>
        </w:rPr>
      </w:pPr>
    </w:p>
    <w:p w14:paraId="293F1E44" w14:textId="77777777" w:rsidR="00523702" w:rsidRPr="00033154" w:rsidRDefault="00F833EB" w:rsidP="00026E9D">
      <w:pPr>
        <w:spacing w:line="360" w:lineRule="auto"/>
        <w:jc w:val="both"/>
        <w:rPr>
          <w:rFonts w:asciiTheme="majorHAnsi" w:hAnsiTheme="majorHAnsi"/>
          <w:spacing w:val="-6"/>
          <w:sz w:val="21"/>
          <w:szCs w:val="21"/>
        </w:rPr>
      </w:pPr>
      <w:r w:rsidRPr="00033154">
        <w:rPr>
          <w:rFonts w:asciiTheme="majorHAnsi" w:hAnsiTheme="majorHAnsi"/>
          <w:spacing w:val="-6"/>
          <w:sz w:val="21"/>
          <w:szCs w:val="21"/>
        </w:rPr>
        <w:t xml:space="preserve">Celem rozprawy jest analiza </w:t>
      </w:r>
      <w:r w:rsidR="00680694" w:rsidRPr="00033154">
        <w:rPr>
          <w:rFonts w:asciiTheme="majorHAnsi" w:hAnsiTheme="majorHAnsi"/>
          <w:spacing w:val="-6"/>
          <w:sz w:val="21"/>
          <w:szCs w:val="21"/>
        </w:rPr>
        <w:t>przyjętych w Polsce rozwiązań z zakresu wstępnego rozpoznania skargi konstytucyjnej</w:t>
      </w:r>
      <w:r w:rsidR="00C06199" w:rsidRPr="00033154">
        <w:rPr>
          <w:rFonts w:asciiTheme="majorHAnsi" w:hAnsiTheme="majorHAnsi"/>
          <w:spacing w:val="-6"/>
          <w:sz w:val="21"/>
          <w:szCs w:val="21"/>
        </w:rPr>
        <w:t xml:space="preserve">. Analiza dotyczy w szczególności </w:t>
      </w:r>
      <w:r w:rsidR="00680694" w:rsidRPr="00033154">
        <w:rPr>
          <w:rFonts w:asciiTheme="majorHAnsi" w:hAnsiTheme="majorHAnsi"/>
          <w:spacing w:val="-6"/>
          <w:sz w:val="21"/>
          <w:szCs w:val="21"/>
        </w:rPr>
        <w:t>wpływu</w:t>
      </w:r>
      <w:r w:rsidR="00C06199" w:rsidRPr="00033154">
        <w:rPr>
          <w:rFonts w:asciiTheme="majorHAnsi" w:hAnsiTheme="majorHAnsi"/>
          <w:spacing w:val="-6"/>
          <w:sz w:val="21"/>
          <w:szCs w:val="21"/>
        </w:rPr>
        <w:t>, jaki sposób ukształtowania tego etapu postępowania przed Trybunałem Konstytucyjnym ma na efektywność skargi konstytucyjnej</w:t>
      </w:r>
      <w:r w:rsidR="00680694" w:rsidRPr="00033154">
        <w:rPr>
          <w:rFonts w:asciiTheme="majorHAnsi" w:hAnsiTheme="majorHAnsi"/>
          <w:spacing w:val="-6"/>
          <w:sz w:val="21"/>
          <w:szCs w:val="21"/>
        </w:rPr>
        <w:t xml:space="preserve"> </w:t>
      </w:r>
      <w:r w:rsidR="00C06199" w:rsidRPr="00033154">
        <w:rPr>
          <w:rFonts w:asciiTheme="majorHAnsi" w:hAnsiTheme="majorHAnsi"/>
          <w:spacing w:val="-6"/>
          <w:sz w:val="21"/>
          <w:szCs w:val="21"/>
        </w:rPr>
        <w:t xml:space="preserve">– zarówno jako środka ochrony konstytucyjnych wolności i praw jednostki, jak i mechanizmu inicjowania kontroli konstytucyjności prawa. </w:t>
      </w:r>
      <w:r w:rsidR="00A85847" w:rsidRPr="00033154">
        <w:rPr>
          <w:rFonts w:asciiTheme="majorHAnsi" w:hAnsiTheme="majorHAnsi"/>
          <w:spacing w:val="-6"/>
          <w:sz w:val="21"/>
          <w:szCs w:val="21"/>
        </w:rPr>
        <w:t>Rozprawa podejmuje też próbę zilustrowania</w:t>
      </w:r>
      <w:r w:rsidR="00084544" w:rsidRPr="00033154">
        <w:rPr>
          <w:rFonts w:asciiTheme="majorHAnsi" w:hAnsiTheme="majorHAnsi"/>
          <w:spacing w:val="-6"/>
          <w:sz w:val="21"/>
          <w:szCs w:val="21"/>
        </w:rPr>
        <w:t xml:space="preserve">, jak owa </w:t>
      </w:r>
      <w:r w:rsidR="00C06199" w:rsidRPr="00033154">
        <w:rPr>
          <w:rFonts w:asciiTheme="majorHAnsi" w:hAnsiTheme="majorHAnsi"/>
          <w:spacing w:val="-6"/>
          <w:sz w:val="21"/>
          <w:szCs w:val="21"/>
        </w:rPr>
        <w:t xml:space="preserve">podwójna natura skargi konstytucyjnej </w:t>
      </w:r>
      <w:r w:rsidR="00A85847" w:rsidRPr="00033154">
        <w:rPr>
          <w:rFonts w:asciiTheme="majorHAnsi" w:hAnsiTheme="majorHAnsi"/>
          <w:spacing w:val="-6"/>
          <w:sz w:val="21"/>
          <w:szCs w:val="21"/>
        </w:rPr>
        <w:t xml:space="preserve">kształtuje </w:t>
      </w:r>
      <w:r w:rsidR="00C06199" w:rsidRPr="00033154">
        <w:rPr>
          <w:rFonts w:asciiTheme="majorHAnsi" w:hAnsiTheme="majorHAnsi"/>
          <w:spacing w:val="-6"/>
          <w:sz w:val="21"/>
          <w:szCs w:val="21"/>
        </w:rPr>
        <w:t>sposób interpretacji przesłanek dopuszczalności</w:t>
      </w:r>
      <w:r w:rsidR="00084544" w:rsidRPr="00033154">
        <w:rPr>
          <w:rFonts w:asciiTheme="majorHAnsi" w:hAnsiTheme="majorHAnsi"/>
          <w:spacing w:val="-6"/>
          <w:sz w:val="21"/>
          <w:szCs w:val="21"/>
        </w:rPr>
        <w:t xml:space="preserve"> jej wniesienia</w:t>
      </w:r>
      <w:r w:rsidR="00C06199" w:rsidRPr="00033154">
        <w:rPr>
          <w:rFonts w:asciiTheme="majorHAnsi" w:hAnsiTheme="majorHAnsi"/>
          <w:spacing w:val="-6"/>
          <w:sz w:val="21"/>
          <w:szCs w:val="21"/>
        </w:rPr>
        <w:t>, badanych przez Trybunał w ramach wstępnej kontroli.</w:t>
      </w:r>
      <w:r w:rsidR="00523702" w:rsidRPr="00033154">
        <w:rPr>
          <w:rFonts w:asciiTheme="majorHAnsi" w:hAnsiTheme="majorHAnsi"/>
          <w:spacing w:val="-6"/>
          <w:sz w:val="21"/>
          <w:szCs w:val="21"/>
        </w:rPr>
        <w:t xml:space="preserve"> Kryteria dopuszczalności skargi i sposób ich rozumienia przez Trybunał Konstytucyjny mają bezpośredni wpływ na dostępność tego środka ochrony prawnej, a w konsekwencji na skuteczność samej instytucji skargi i realność stwarzanych przez nią gwarancji ochrony konstytucyjnych wolności i praw.</w:t>
      </w:r>
    </w:p>
    <w:p w14:paraId="7578DB42" w14:textId="77777777" w:rsidR="00523702" w:rsidRPr="00033154" w:rsidRDefault="00523702" w:rsidP="00026E9D">
      <w:pPr>
        <w:spacing w:line="360" w:lineRule="auto"/>
        <w:jc w:val="both"/>
        <w:rPr>
          <w:rFonts w:asciiTheme="majorHAnsi" w:hAnsiTheme="majorHAnsi"/>
          <w:spacing w:val="-6"/>
          <w:sz w:val="21"/>
          <w:szCs w:val="21"/>
        </w:rPr>
      </w:pPr>
    </w:p>
    <w:p w14:paraId="38807AE6" w14:textId="77777777" w:rsidR="00DB0DC9" w:rsidRPr="00033154" w:rsidRDefault="00523702" w:rsidP="00026E9D">
      <w:pPr>
        <w:spacing w:line="360" w:lineRule="auto"/>
        <w:jc w:val="both"/>
        <w:rPr>
          <w:rFonts w:asciiTheme="majorHAnsi" w:hAnsiTheme="majorHAnsi"/>
          <w:spacing w:val="-6"/>
          <w:sz w:val="21"/>
          <w:szCs w:val="21"/>
        </w:rPr>
      </w:pPr>
      <w:r w:rsidRPr="00033154">
        <w:rPr>
          <w:rFonts w:asciiTheme="majorHAnsi" w:hAnsiTheme="majorHAnsi"/>
          <w:spacing w:val="-6"/>
          <w:sz w:val="21"/>
          <w:szCs w:val="21"/>
        </w:rPr>
        <w:t xml:space="preserve">W rozprawie wyjaśniono na czym polega </w:t>
      </w:r>
      <w:r w:rsidR="00DB0DC9" w:rsidRPr="00033154">
        <w:rPr>
          <w:rFonts w:asciiTheme="majorHAnsi" w:hAnsiTheme="majorHAnsi"/>
          <w:spacing w:val="-6"/>
          <w:sz w:val="21"/>
          <w:szCs w:val="21"/>
        </w:rPr>
        <w:t xml:space="preserve">i jak przebiega </w:t>
      </w:r>
      <w:r w:rsidRPr="00033154">
        <w:rPr>
          <w:rFonts w:asciiTheme="majorHAnsi" w:hAnsiTheme="majorHAnsi"/>
          <w:spacing w:val="-6"/>
          <w:sz w:val="21"/>
          <w:szCs w:val="21"/>
        </w:rPr>
        <w:t xml:space="preserve">wstępne rozpoznanie skargi konstytucyjnej, </w:t>
      </w:r>
      <w:r w:rsidR="00DB0DC9" w:rsidRPr="00033154">
        <w:rPr>
          <w:rFonts w:asciiTheme="majorHAnsi" w:hAnsiTheme="majorHAnsi"/>
          <w:spacing w:val="-6"/>
          <w:sz w:val="21"/>
          <w:szCs w:val="21"/>
        </w:rPr>
        <w:t xml:space="preserve">a także </w:t>
      </w:r>
      <w:r w:rsidRPr="00033154">
        <w:rPr>
          <w:rFonts w:asciiTheme="majorHAnsi" w:hAnsiTheme="majorHAnsi"/>
          <w:spacing w:val="-6"/>
          <w:sz w:val="21"/>
          <w:szCs w:val="21"/>
        </w:rPr>
        <w:t xml:space="preserve">w jaki sposób ewoluowała jego regulacja. Prześledzono też związki, jakie badane na tym etapie przesłanki </w:t>
      </w:r>
      <w:bookmarkStart w:id="0" w:name="OLE_LINK1"/>
      <w:bookmarkStart w:id="1" w:name="OLE_LINK2"/>
      <w:r w:rsidRPr="00033154">
        <w:rPr>
          <w:rFonts w:asciiTheme="majorHAnsi" w:hAnsiTheme="majorHAnsi"/>
          <w:spacing w:val="-6"/>
          <w:sz w:val="21"/>
          <w:szCs w:val="21"/>
        </w:rPr>
        <w:t xml:space="preserve">wykazują </w:t>
      </w:r>
      <w:bookmarkEnd w:id="0"/>
      <w:bookmarkEnd w:id="1"/>
      <w:r w:rsidRPr="00033154">
        <w:rPr>
          <w:rFonts w:asciiTheme="majorHAnsi" w:hAnsiTheme="majorHAnsi"/>
          <w:spacing w:val="-6"/>
          <w:sz w:val="21"/>
          <w:szCs w:val="21"/>
        </w:rPr>
        <w:t xml:space="preserve">z przyjętym w Polsce modelem skargi. Analiza została osadzona w kontekście funkcji skargi konstytucyjnej i ustrojowej roli Trybunału Konstytucyjnego jako jednego z organów ochrony prawnej, stojącego na straży hierarchicznej zgodności prawa. </w:t>
      </w:r>
    </w:p>
    <w:p w14:paraId="33F79037" w14:textId="77777777" w:rsidR="00DB0DC9" w:rsidRPr="00033154" w:rsidRDefault="00DB0DC9" w:rsidP="00026E9D">
      <w:pPr>
        <w:spacing w:line="360" w:lineRule="auto"/>
        <w:jc w:val="both"/>
        <w:rPr>
          <w:rFonts w:asciiTheme="majorHAnsi" w:hAnsiTheme="majorHAnsi"/>
          <w:spacing w:val="-6"/>
          <w:sz w:val="21"/>
          <w:szCs w:val="21"/>
        </w:rPr>
      </w:pPr>
    </w:p>
    <w:p w14:paraId="3B644C79" w14:textId="77777777" w:rsidR="009C2D54" w:rsidRPr="00033154" w:rsidRDefault="00222C94" w:rsidP="00026E9D">
      <w:pPr>
        <w:spacing w:line="360" w:lineRule="auto"/>
        <w:jc w:val="both"/>
        <w:rPr>
          <w:rFonts w:asciiTheme="majorHAnsi" w:hAnsiTheme="majorHAnsi"/>
          <w:spacing w:val="-6"/>
          <w:sz w:val="21"/>
          <w:szCs w:val="21"/>
        </w:rPr>
      </w:pPr>
      <w:r w:rsidRPr="00033154">
        <w:rPr>
          <w:rFonts w:asciiTheme="majorHAnsi" w:hAnsiTheme="majorHAnsi"/>
          <w:spacing w:val="-6"/>
          <w:sz w:val="21"/>
          <w:szCs w:val="21"/>
        </w:rPr>
        <w:t>Przebieg wstępnego rozpoznania i sposób rozstrzygania pojawiających się na tym etapie problemów interpretacyjnych najpełniej obrazuje relacje pomiędzy przedmiotową (obiektywną) i podmiotową (subiektywną) funkcją skargi konstytucyjnej. Od tego, której z nich TK przyznaje pierwszeństwo zależy często rozstrzygnięcie o dopuszczalności lub niedopuszczalności skargi. Ponadto, j</w:t>
      </w:r>
      <w:r w:rsidR="00523702" w:rsidRPr="00033154">
        <w:rPr>
          <w:rFonts w:asciiTheme="majorHAnsi" w:hAnsiTheme="majorHAnsi"/>
          <w:spacing w:val="-6"/>
          <w:sz w:val="21"/>
          <w:szCs w:val="21"/>
        </w:rPr>
        <w:t xml:space="preserve">ak wynika z dokonanych w pracy ustaleń, dynamika wstępnego rozpoznania – a zatem również wynik dokonywanej na tym etapie oceny skargi – jest efektem nieustannego ważenia dwóch wzajemnie powiązanych wartości: dostępności skargi konstytucyjnej jako instrumentu ochrony prawnej, oraz efektywności działania Trybunału Konstytucyjnego. </w:t>
      </w:r>
      <w:r w:rsidR="00DB0DC9" w:rsidRPr="00033154">
        <w:rPr>
          <w:rFonts w:asciiTheme="majorHAnsi" w:hAnsiTheme="majorHAnsi"/>
          <w:spacing w:val="-6"/>
          <w:sz w:val="21"/>
          <w:szCs w:val="21"/>
        </w:rPr>
        <w:t xml:space="preserve">Wartości te wzajemnie się przenikają – nadmierne otwarcie dostępu do skargi grozi zmniejszeniem efektywności działania TK, co może obniżyć poziom gwarantowanej przez skargę ochrony. I odwrotnie – na nic efektywne działanie TK, jeżeli kryteria dostępu do skargi sformułowane są tak restrykcyjnie, że utrudnia to faktyczne korzystanie z tego środka prawnego. </w:t>
      </w:r>
    </w:p>
    <w:p w14:paraId="11D6842B" w14:textId="77777777" w:rsidR="00DB0DC9" w:rsidRPr="00033154" w:rsidRDefault="00DB0DC9" w:rsidP="00026E9D">
      <w:pPr>
        <w:spacing w:line="360" w:lineRule="auto"/>
        <w:jc w:val="both"/>
        <w:rPr>
          <w:rFonts w:asciiTheme="majorHAnsi" w:hAnsiTheme="majorHAnsi"/>
          <w:spacing w:val="-6"/>
          <w:sz w:val="21"/>
          <w:szCs w:val="21"/>
        </w:rPr>
      </w:pPr>
    </w:p>
    <w:p w14:paraId="2686F8B2" w14:textId="7CB9B574" w:rsidR="00523702" w:rsidRPr="00033154" w:rsidRDefault="00222C94" w:rsidP="00026E9D">
      <w:pPr>
        <w:spacing w:line="360" w:lineRule="auto"/>
        <w:jc w:val="both"/>
        <w:rPr>
          <w:rFonts w:asciiTheme="majorHAnsi" w:hAnsiTheme="majorHAnsi"/>
          <w:spacing w:val="-6"/>
          <w:sz w:val="21"/>
          <w:szCs w:val="21"/>
        </w:rPr>
      </w:pPr>
      <w:r w:rsidRPr="00033154">
        <w:rPr>
          <w:rFonts w:asciiTheme="majorHAnsi" w:hAnsiTheme="majorHAnsi"/>
          <w:spacing w:val="-6"/>
          <w:sz w:val="21"/>
          <w:szCs w:val="21"/>
        </w:rPr>
        <w:t xml:space="preserve">Rozwijana od 1997 r. praktyka orzecznicza TK nie ustrzegła się od niekonsekwencji, a nierzadko także od nadmiernego rygoryzmu. W związku z tym na etapie wnoszenia skargi niejednokrotnie trudno przewidzieć wynik jej wstępnego rozpoznania, a odsetek skarg przekazywanych do rozpoznania merytorycznego utrzymuje się na stałym, niewysokim poziomie. Spośród funkcji wstępnego rozpoznania w praktyce dominuje funkcja eliminacyjna, co rzutuje na faktyczną </w:t>
      </w:r>
      <w:r w:rsidRPr="00033154">
        <w:rPr>
          <w:rFonts w:asciiTheme="majorHAnsi" w:hAnsiTheme="majorHAnsi"/>
          <w:spacing w:val="-6"/>
          <w:sz w:val="21"/>
          <w:szCs w:val="21"/>
        </w:rPr>
        <w:lastRenderedPageBreak/>
        <w:t>dostępność skargi jako instrumentu ochrony wolności i praw jednostki, i skutkuje jego stosunkowo niską efektywnością.</w:t>
      </w:r>
      <w:r w:rsidR="00723B7C" w:rsidRPr="00033154">
        <w:rPr>
          <w:rFonts w:asciiTheme="majorHAnsi" w:hAnsiTheme="majorHAnsi"/>
          <w:spacing w:val="-6"/>
          <w:sz w:val="21"/>
          <w:szCs w:val="21"/>
        </w:rPr>
        <w:t xml:space="preserve"> Wydaje się zatem, że </w:t>
      </w:r>
      <w:r w:rsidR="008B3558" w:rsidRPr="00033154">
        <w:rPr>
          <w:rFonts w:asciiTheme="majorHAnsi" w:hAnsiTheme="majorHAnsi"/>
          <w:spacing w:val="-6"/>
          <w:sz w:val="21"/>
          <w:szCs w:val="21"/>
        </w:rPr>
        <w:t xml:space="preserve">wysoki </w:t>
      </w:r>
      <w:r w:rsidR="00723B7C" w:rsidRPr="00033154">
        <w:rPr>
          <w:rFonts w:asciiTheme="majorHAnsi" w:hAnsiTheme="majorHAnsi"/>
          <w:spacing w:val="-6"/>
          <w:sz w:val="21"/>
          <w:szCs w:val="21"/>
        </w:rPr>
        <w:t xml:space="preserve">rygoryzm wstępnej kontroli skargi powinien być równoważony przez </w:t>
      </w:r>
      <w:r w:rsidR="008B3558" w:rsidRPr="00033154">
        <w:rPr>
          <w:rFonts w:asciiTheme="majorHAnsi" w:hAnsiTheme="majorHAnsi"/>
          <w:spacing w:val="-6"/>
          <w:sz w:val="21"/>
          <w:szCs w:val="21"/>
        </w:rPr>
        <w:t>gwarancje rzetelnej procedury</w:t>
      </w:r>
      <w:r w:rsidR="00723B7C" w:rsidRPr="00033154">
        <w:rPr>
          <w:rFonts w:asciiTheme="majorHAnsi" w:hAnsiTheme="majorHAnsi"/>
          <w:spacing w:val="-6"/>
          <w:sz w:val="21"/>
          <w:szCs w:val="21"/>
        </w:rPr>
        <w:t xml:space="preserve"> i przewidywalność zapadających w jej wyniku rozstrzygnięć. </w:t>
      </w:r>
      <w:r w:rsidR="008B3558" w:rsidRPr="00033154">
        <w:rPr>
          <w:rFonts w:asciiTheme="majorHAnsi" w:hAnsiTheme="majorHAnsi"/>
          <w:spacing w:val="-6"/>
          <w:sz w:val="21"/>
          <w:szCs w:val="21"/>
        </w:rPr>
        <w:t>Wymaga tego zasada sprawiedliwości proceduralnej, a szerzej – zaufanie jednostki do państwa i stanowionego przez nie prawa oraz skuteczność stwarzanych przez państwo gwarancji jej konstytucyjnych praw i wolności.</w:t>
      </w:r>
    </w:p>
    <w:p w14:paraId="7B730B96" w14:textId="079081CA" w:rsidR="00E7110C" w:rsidRPr="00033154" w:rsidRDefault="00E7110C" w:rsidP="00026E9D">
      <w:pPr>
        <w:spacing w:line="360" w:lineRule="auto"/>
        <w:jc w:val="both"/>
        <w:rPr>
          <w:rFonts w:asciiTheme="majorHAnsi" w:hAnsiTheme="majorHAnsi"/>
          <w:spacing w:val="-6"/>
          <w:sz w:val="21"/>
          <w:szCs w:val="21"/>
        </w:rPr>
      </w:pPr>
      <w:bookmarkStart w:id="2" w:name="_GoBack"/>
      <w:bookmarkEnd w:id="2"/>
    </w:p>
    <w:sectPr w:rsidR="00E7110C" w:rsidRPr="00033154" w:rsidSect="007B3E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doni 72 Book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F0"/>
    <w:rsid w:val="00026E9D"/>
    <w:rsid w:val="00033154"/>
    <w:rsid w:val="00084544"/>
    <w:rsid w:val="00183C7C"/>
    <w:rsid w:val="00222C94"/>
    <w:rsid w:val="00244B3D"/>
    <w:rsid w:val="004755C5"/>
    <w:rsid w:val="00523702"/>
    <w:rsid w:val="00680694"/>
    <w:rsid w:val="006D7F3D"/>
    <w:rsid w:val="00723B7C"/>
    <w:rsid w:val="00757EBE"/>
    <w:rsid w:val="007B3EF0"/>
    <w:rsid w:val="008B3558"/>
    <w:rsid w:val="009C2D54"/>
    <w:rsid w:val="00A85847"/>
    <w:rsid w:val="00B243C8"/>
    <w:rsid w:val="00C06199"/>
    <w:rsid w:val="00DB0DC9"/>
    <w:rsid w:val="00DC6AC3"/>
    <w:rsid w:val="00DD5CF0"/>
    <w:rsid w:val="00E7110C"/>
    <w:rsid w:val="00F7715E"/>
    <w:rsid w:val="00F8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F1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183C7C"/>
    <w:rPr>
      <w:rFonts w:ascii="Bodoni 72 Book" w:hAnsi="Bodoni 72 Book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3C7C"/>
    <w:rPr>
      <w:rFonts w:ascii="Bodoni 72 Book" w:hAnsi="Bodoni 72 Boo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AHJ</dc:creator>
  <cp:keywords/>
  <dc:description/>
  <cp:lastModifiedBy>Maria Lenarczyk</cp:lastModifiedBy>
  <cp:revision>3</cp:revision>
  <dcterms:created xsi:type="dcterms:W3CDTF">2019-10-28T13:20:00Z</dcterms:created>
  <dcterms:modified xsi:type="dcterms:W3CDTF">2019-10-28T13:38:00Z</dcterms:modified>
</cp:coreProperties>
</file>